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61"/>
        <w:gridCol w:w="750"/>
        <w:gridCol w:w="4957"/>
        <w:gridCol w:w="1674"/>
      </w:tblGrid>
      <w:tr w:rsidR="003C2210" w:rsidRPr="00EC0EBC" w:rsidTr="00734503">
        <w:trPr>
          <w:trHeight w:val="88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EBC">
              <w:rPr>
                <w:rFonts w:ascii="Calibri" w:hAnsi="Calibri" w:cs="Calibri"/>
                <w:b/>
                <w:bCs/>
                <w:sz w:val="22"/>
                <w:szCs w:val="22"/>
              </w:rPr>
              <w:t>WZORCE ROZWIĄZANIA ZADAŃ</w:t>
            </w: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>NR ZAD.</w:t>
            </w:r>
          </w:p>
          <w:p w:rsidR="003C2210" w:rsidRPr="00EC0EBC" w:rsidRDefault="003C2210" w:rsidP="00734503">
            <w:pPr>
              <w:pStyle w:val="TableContents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>OCZEKIWANE ROZWIĄZANIE ZADANIA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>LICZBA PUNKTÓW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C0EBC">
              <w:rPr>
                <w:rFonts w:ascii="Calibri" w:hAnsi="Calibri" w:cs="Calibri"/>
                <w:sz w:val="22"/>
                <w:szCs w:val="22"/>
              </w:rPr>
              <w:t>I ZASADY ICH PRZYDZIELANIA</w:t>
            </w:r>
          </w:p>
        </w:tc>
      </w:tr>
      <w:tr w:rsidR="003C2210" w:rsidRPr="00EC0EBC" w:rsidTr="00734503">
        <w:trPr>
          <w:trHeight w:val="88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3C2210">
            <w:pPr>
              <w:pStyle w:val="TableContents"/>
              <w:numPr>
                <w:ilvl w:val="0"/>
                <w:numId w:val="67"/>
              </w:num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Default="003C2210" w:rsidP="00734503">
            <w:pPr>
              <w:pStyle w:val="NormalnyWeb"/>
              <w:spacing w:before="0" w:after="0" w:line="276" w:lineRule="auto"/>
              <w:ind w:left="12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i/>
                <w:sz w:val="22"/>
                <w:szCs w:val="22"/>
              </w:rPr>
              <w:t>Kwestia homerycka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– spór o autorstwo </w:t>
            </w:r>
            <w:r w:rsidRPr="00EC0EBC">
              <w:rPr>
                <w:rFonts w:ascii="Calibri" w:hAnsi="Calibri" w:cs="Calibri"/>
                <w:i/>
                <w:sz w:val="22"/>
                <w:szCs w:val="22"/>
              </w:rPr>
              <w:t>Iliady</w:t>
            </w:r>
          </w:p>
          <w:p w:rsidR="003C2210" w:rsidRPr="00EC0EBC" w:rsidRDefault="003C2210" w:rsidP="00734503">
            <w:pPr>
              <w:pStyle w:val="NormalnyWeb"/>
              <w:spacing w:before="0" w:after="0" w:line="276" w:lineRule="auto"/>
              <w:ind w:left="12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EC0EBC">
              <w:rPr>
                <w:rFonts w:ascii="Calibri" w:hAnsi="Calibri" w:cs="Calibri"/>
                <w:i/>
                <w:sz w:val="22"/>
                <w:szCs w:val="22"/>
              </w:rPr>
              <w:t xml:space="preserve">Odysei 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(autorstwo jednego twórcy potwierdza np. podobieństwo stylu czy kunsztowna kompozycja obu tekstów), spór o miejsce urodzenia Homera, przypuszczenie, że to dzieło „autora zbiorowego”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b/>
                <w:sz w:val="22"/>
                <w:szCs w:val="22"/>
              </w:rPr>
              <w:t>1p.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(za pod</w:t>
            </w:r>
            <w:r>
              <w:rPr>
                <w:rFonts w:ascii="Calibri" w:hAnsi="Calibri" w:cs="Calibri"/>
                <w:sz w:val="22"/>
                <w:szCs w:val="22"/>
              </w:rPr>
              <w:t>anie 1 poprawnej odpowiedzi);</w:t>
            </w:r>
          </w:p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b/>
                <w:sz w:val="22"/>
                <w:szCs w:val="22"/>
              </w:rPr>
              <w:t>2p.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– za więcej niż 1 element homeryckich sporów.</w:t>
            </w:r>
          </w:p>
        </w:tc>
      </w:tr>
      <w:tr w:rsidR="003C2210" w:rsidRPr="00EC0EBC" w:rsidTr="00734503">
        <w:trPr>
          <w:trHeight w:val="86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3C2210">
            <w:pPr>
              <w:pStyle w:val="TableContents"/>
              <w:numPr>
                <w:ilvl w:val="0"/>
                <w:numId w:val="66"/>
              </w:num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Default="003C2210" w:rsidP="0073450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>Np.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210" w:rsidRPr="00EC0EBC" w:rsidRDefault="003C2210" w:rsidP="0073450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gniew Posejdona – za oślepienie swego syna Polifema Odyseusz będzie się błąkał po morzach, pomoc Hermesa – przekazanie rozkazu bogów nimfie Kalipso, ingerencja Ateny etc.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b/>
                <w:sz w:val="22"/>
                <w:szCs w:val="22"/>
              </w:rPr>
              <w:t xml:space="preserve">2p. </w:t>
            </w:r>
            <w:r>
              <w:rPr>
                <w:rFonts w:ascii="Calibri" w:hAnsi="Calibri" w:cs="Calibri"/>
                <w:sz w:val="22"/>
                <w:szCs w:val="22"/>
              </w:rPr>
              <w:t>(za podanie poprawnego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 przykładu)</w:t>
            </w:r>
          </w:p>
        </w:tc>
      </w:tr>
      <w:tr w:rsidR="003C2210" w:rsidRPr="00EC0EBC" w:rsidTr="00734503">
        <w:trPr>
          <w:trHeight w:val="7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3C2210">
            <w:pPr>
              <w:pStyle w:val="TableContents"/>
              <w:numPr>
                <w:ilvl w:val="0"/>
                <w:numId w:val="66"/>
              </w:num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Swobodny wybór ucznia. Zwracamy uwagę na poprawność zapisu i chronologię wydarzeń.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b/>
                <w:sz w:val="22"/>
                <w:szCs w:val="22"/>
              </w:rPr>
              <w:t xml:space="preserve">5p. </w:t>
            </w:r>
            <w:r>
              <w:rPr>
                <w:rFonts w:ascii="Calibri" w:hAnsi="Calibri" w:cs="Calibri"/>
                <w:sz w:val="22"/>
                <w:szCs w:val="22"/>
              </w:rPr>
              <w:t>(pół punktu za każde poprawnie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zapisane wydarzenie)</w:t>
            </w:r>
          </w:p>
        </w:tc>
      </w:tr>
      <w:tr w:rsidR="003C2210" w:rsidRPr="00EC0EBC" w:rsidTr="00734503">
        <w:trPr>
          <w:trHeight w:val="86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3C2210">
            <w:pPr>
              <w:pStyle w:val="TableContents"/>
              <w:numPr>
                <w:ilvl w:val="0"/>
                <w:numId w:val="66"/>
              </w:num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Homo </w:t>
            </w:r>
            <w:proofErr w:type="spellStart"/>
            <w:r w:rsidRPr="00EC0EBC">
              <w:rPr>
                <w:rFonts w:ascii="Calibri" w:hAnsi="Calibri" w:cs="Calibri"/>
                <w:sz w:val="22"/>
                <w:szCs w:val="22"/>
              </w:rPr>
              <w:t>viator</w:t>
            </w:r>
            <w:proofErr w:type="spellEnd"/>
            <w:r w:rsidRPr="00EC0EBC">
              <w:rPr>
                <w:rFonts w:ascii="Calibri" w:hAnsi="Calibri" w:cs="Calibri"/>
                <w:sz w:val="22"/>
                <w:szCs w:val="22"/>
              </w:rPr>
              <w:t xml:space="preserve"> -&gt; człowiek wędrujący</w:t>
            </w:r>
          </w:p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>Odyseja -&gt;długa wędrówka, obfitująca w przygody</w:t>
            </w:r>
          </w:p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b/>
                <w:sz w:val="22"/>
                <w:szCs w:val="22"/>
              </w:rPr>
              <w:t>2p.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(jeden punkt za każdą poprawną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odpowiedź)</w:t>
            </w:r>
          </w:p>
        </w:tc>
      </w:tr>
      <w:tr w:rsidR="003C2210" w:rsidRPr="00EC0EBC" w:rsidTr="00734503">
        <w:trPr>
          <w:trHeight w:val="123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a) </w:t>
            </w:r>
            <w:r w:rsidRPr="00EC0EBC">
              <w:rPr>
                <w:rFonts w:ascii="Calibri" w:hAnsi="Calibri" w:cs="Calibri"/>
                <w:i/>
                <w:sz w:val="22"/>
                <w:szCs w:val="22"/>
              </w:rPr>
              <w:t xml:space="preserve">Odyseja kosmiczna, </w:t>
            </w:r>
            <w:r w:rsidRPr="00EC0EBC">
              <w:rPr>
                <w:rFonts w:ascii="Calibri" w:hAnsi="Calibri" w:cs="Calibri"/>
                <w:sz w:val="22"/>
                <w:szCs w:val="22"/>
              </w:rPr>
              <w:t>Stanley Kubrick</w:t>
            </w:r>
          </w:p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b) </w:t>
            </w:r>
            <w:r w:rsidRPr="00EC0EBC">
              <w:rPr>
                <w:rFonts w:ascii="Calibri" w:hAnsi="Calibri" w:cs="Calibri"/>
                <w:i/>
                <w:sz w:val="22"/>
                <w:szCs w:val="22"/>
              </w:rPr>
              <w:t>Władca Pierścieni</w:t>
            </w:r>
            <w:r w:rsidRPr="00EC0EBC">
              <w:rPr>
                <w:rFonts w:ascii="Calibri" w:hAnsi="Calibri" w:cs="Calibri"/>
                <w:sz w:val="22"/>
                <w:szCs w:val="22"/>
              </w:rPr>
              <w:t>, Tolkien</w:t>
            </w:r>
          </w:p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c) Jacek Kaczmarski, </w:t>
            </w:r>
            <w:r w:rsidRPr="00EC0EBC">
              <w:rPr>
                <w:rFonts w:ascii="Calibri" w:hAnsi="Calibri" w:cs="Calibri"/>
                <w:i/>
                <w:sz w:val="22"/>
                <w:szCs w:val="22"/>
              </w:rPr>
              <w:t xml:space="preserve">Powtórka z Odysei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b/>
                <w:sz w:val="22"/>
                <w:szCs w:val="22"/>
              </w:rPr>
              <w:t>3p.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(1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punkt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za wskazanie poprawnego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tytułu)</w:t>
            </w:r>
          </w:p>
        </w:tc>
      </w:tr>
      <w:tr w:rsidR="003C2210" w:rsidRPr="00EC0EBC" w:rsidTr="00734503">
        <w:trPr>
          <w:trHeight w:val="1075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EBC">
              <w:rPr>
                <w:rFonts w:ascii="Calibri" w:hAnsi="Calibri" w:cs="Calibri"/>
                <w:sz w:val="22"/>
                <w:szCs w:val="22"/>
              </w:rPr>
              <w:t>Swobodna interpretacja z odwołaniem się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do wiadomości lekcyjnych  </w:t>
            </w:r>
          </w:p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C2210" w:rsidRPr="00EC0EBC" w:rsidRDefault="003C2210" w:rsidP="00734503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210" w:rsidRPr="00EC0EBC" w:rsidRDefault="003C2210" w:rsidP="00734503">
            <w:pPr>
              <w:pStyle w:val="TableContents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39EA">
              <w:rPr>
                <w:rFonts w:ascii="Calibri" w:hAnsi="Calibri" w:cs="Calibri"/>
                <w:b/>
                <w:sz w:val="22"/>
                <w:szCs w:val="22"/>
              </w:rPr>
              <w:t>10 p.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439EA">
              <w:rPr>
                <w:rFonts w:ascii="Calibri" w:hAnsi="Calibri" w:cs="Calibri"/>
                <w:b/>
                <w:sz w:val="22"/>
                <w:szCs w:val="22"/>
              </w:rPr>
              <w:t>4p.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– poprawność językowa,  ortograficzna, interpunkcyjna) </w:t>
            </w:r>
            <w:r w:rsidRPr="00E439EA">
              <w:rPr>
                <w:rFonts w:ascii="Calibri" w:hAnsi="Calibri" w:cs="Calibri"/>
                <w:b/>
                <w:sz w:val="22"/>
                <w:szCs w:val="22"/>
              </w:rPr>
              <w:t>6p.</w:t>
            </w:r>
            <w:r w:rsidRPr="00EC0EBC">
              <w:rPr>
                <w:rFonts w:ascii="Calibri" w:hAnsi="Calibri" w:cs="Calibri"/>
                <w:sz w:val="22"/>
                <w:szCs w:val="22"/>
              </w:rPr>
              <w:t xml:space="preserve"> – treść (nauczyciel sam decyduje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C0EBC">
              <w:rPr>
                <w:rFonts w:ascii="Calibri" w:hAnsi="Calibri" w:cs="Calibri"/>
                <w:sz w:val="22"/>
                <w:szCs w:val="22"/>
              </w:rPr>
              <w:t>o podziale punktów ).</w:t>
            </w:r>
          </w:p>
        </w:tc>
      </w:tr>
    </w:tbl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B6" w:rsidRDefault="004B1FB6" w:rsidP="00095CCD">
      <w:pPr>
        <w:spacing w:after="0" w:line="240" w:lineRule="auto"/>
      </w:pPr>
      <w:r>
        <w:separator/>
      </w:r>
    </w:p>
  </w:endnote>
  <w:endnote w:type="continuationSeparator" w:id="0">
    <w:p w:rsidR="004B1FB6" w:rsidRDefault="004B1FB6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B6" w:rsidRDefault="004B1FB6" w:rsidP="00095CCD">
      <w:pPr>
        <w:spacing w:after="0" w:line="240" w:lineRule="auto"/>
      </w:pPr>
      <w:r>
        <w:separator/>
      </w:r>
    </w:p>
  </w:footnote>
  <w:footnote w:type="continuationSeparator" w:id="0">
    <w:p w:rsidR="004B1FB6" w:rsidRDefault="004B1FB6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933462"/>
    <w:multiLevelType w:val="multilevel"/>
    <w:tmpl w:val="C428DDB2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4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2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3"/>
    <w:lvlOverride w:ilvl="0">
      <w:startOverride w:val="1"/>
    </w:lvlOverride>
  </w:num>
  <w:num w:numId="3">
    <w:abstractNumId w:val="30"/>
  </w:num>
  <w:num w:numId="4">
    <w:abstractNumId w:val="53"/>
  </w:num>
  <w:num w:numId="5">
    <w:abstractNumId w:val="53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7"/>
  </w:num>
  <w:num w:numId="8">
    <w:abstractNumId w:val="9"/>
  </w:num>
  <w:num w:numId="9">
    <w:abstractNumId w:val="54"/>
  </w:num>
  <w:num w:numId="10">
    <w:abstractNumId w:val="46"/>
  </w:num>
  <w:num w:numId="11">
    <w:abstractNumId w:val="13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0"/>
  </w:num>
  <w:num w:numId="15">
    <w:abstractNumId w:val="56"/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</w:num>
  <w:num w:numId="18">
    <w:abstractNumId w:val="57"/>
  </w:num>
  <w:num w:numId="19">
    <w:abstractNumId w:val="29"/>
  </w:num>
  <w:num w:numId="20">
    <w:abstractNumId w:val="42"/>
  </w:num>
  <w:num w:numId="21">
    <w:abstractNumId w:val="11"/>
  </w:num>
  <w:num w:numId="22">
    <w:abstractNumId w:val="44"/>
  </w:num>
  <w:num w:numId="23">
    <w:abstractNumId w:val="51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5"/>
  </w:num>
  <w:num w:numId="29">
    <w:abstractNumId w:val="35"/>
  </w:num>
  <w:num w:numId="30">
    <w:abstractNumId w:val="60"/>
  </w:num>
  <w:num w:numId="31">
    <w:abstractNumId w:val="39"/>
  </w:num>
  <w:num w:numId="32">
    <w:abstractNumId w:val="22"/>
  </w:num>
  <w:num w:numId="33">
    <w:abstractNumId w:val="27"/>
  </w:num>
  <w:num w:numId="34">
    <w:abstractNumId w:val="61"/>
  </w:num>
  <w:num w:numId="35">
    <w:abstractNumId w:val="47"/>
  </w:num>
  <w:num w:numId="36">
    <w:abstractNumId w:val="43"/>
  </w:num>
  <w:num w:numId="37">
    <w:abstractNumId w:val="48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2"/>
  </w:num>
  <w:num w:numId="44">
    <w:abstractNumId w:val="40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62"/>
  </w:num>
  <w:num w:numId="48">
    <w:abstractNumId w:val="3"/>
  </w:num>
  <w:num w:numId="49">
    <w:abstractNumId w:val="5"/>
  </w:num>
  <w:num w:numId="50">
    <w:abstractNumId w:val="28"/>
  </w:num>
  <w:num w:numId="51">
    <w:abstractNumId w:val="15"/>
  </w:num>
  <w:num w:numId="52">
    <w:abstractNumId w:val="17"/>
  </w:num>
  <w:num w:numId="53">
    <w:abstractNumId w:val="32"/>
  </w:num>
  <w:num w:numId="54">
    <w:abstractNumId w:val="31"/>
  </w:num>
  <w:num w:numId="55">
    <w:abstractNumId w:val="38"/>
  </w:num>
  <w:num w:numId="56">
    <w:abstractNumId w:val="36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4"/>
  </w:num>
  <w:num w:numId="62">
    <w:abstractNumId w:val="34"/>
  </w:num>
  <w:num w:numId="63">
    <w:abstractNumId w:val="58"/>
  </w:num>
  <w:num w:numId="64">
    <w:abstractNumId w:val="49"/>
  </w:num>
  <w:num w:numId="65">
    <w:abstractNumId w:val="6"/>
  </w:num>
  <w:num w:numId="66">
    <w:abstractNumId w:val="26"/>
  </w:num>
  <w:num w:numId="67">
    <w:abstractNumId w:val="26"/>
    <w:lvlOverride w:ilvl="0">
      <w:startOverride w:val="1"/>
    </w:lvlOverride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231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2210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1FB6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47E67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6BD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42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uiPriority w:val="99"/>
    <w:rsid w:val="003C22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C2210"/>
    <w:pPr>
      <w:suppressLineNumbers/>
    </w:pPr>
  </w:style>
  <w:style w:type="numbering" w:customStyle="1" w:styleId="WW8Num4">
    <w:name w:val="WW8Num4"/>
    <w:rsid w:val="003C2210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6582-FA20-4558-8CE3-8CCE0FE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2015-04-29T16:33:00Z</dcterms:created>
  <dcterms:modified xsi:type="dcterms:W3CDTF">2015-04-29T16:33:00Z</dcterms:modified>
</cp:coreProperties>
</file>